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FBCF3"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附件2</w:t>
      </w:r>
    </w:p>
    <w:p w14:paraId="43A8E9AF">
      <w:pPr>
        <w:widowControl/>
        <w:shd w:val="clear" w:color="auto" w:fill="FFFFFF"/>
        <w:spacing w:before="156" w:beforeLines="50" w:after="156" w:afterLines="50" w:line="360" w:lineRule="auto"/>
        <w:jc w:val="center"/>
        <w:rPr>
          <w:rFonts w:hint="eastAsia" w:ascii="方正小标宋简体" w:hAnsi="华文仿宋" w:eastAsia="方正小标宋简体" w:cs="仿宋"/>
          <w:b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华文仿宋" w:eastAsia="方正小标宋简体" w:cs="仿宋"/>
          <w:b/>
          <w:kern w:val="0"/>
          <w:sz w:val="44"/>
          <w:szCs w:val="44"/>
        </w:rPr>
        <w:t>国家开放大学工学科类数智赋能交互式课件大赛设计方案模板</w:t>
      </w:r>
    </w:p>
    <w:bookmarkEnd w:id="0"/>
    <w:p w14:paraId="107F9AF5">
      <w:pPr>
        <w:widowControl/>
        <w:shd w:val="clear" w:color="auto" w:fill="FFFFFF"/>
        <w:spacing w:line="560" w:lineRule="exact"/>
        <w:ind w:left="1320"/>
        <w:jc w:val="center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单位名称 教师/团队姓名</w:t>
      </w:r>
    </w:p>
    <w:p w14:paraId="18761764">
      <w:pPr>
        <w:widowControl/>
        <w:numPr>
          <w:ilvl w:val="0"/>
          <w:numId w:val="1"/>
        </w:numPr>
        <w:shd w:val="clear" w:color="auto" w:fill="FFFFFF"/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交互式课件介绍</w:t>
      </w:r>
    </w:p>
    <w:p w14:paraId="34DD20DD">
      <w:pPr>
        <w:widowControl/>
        <w:shd w:val="clear" w:color="auto" w:fill="FFFFFF"/>
        <w:spacing w:line="560" w:lineRule="exact"/>
        <w:ind w:firstLine="598" w:firstLineChars="187"/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包括课程性质、交互式课件主要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Hans"/>
        </w:rPr>
        <w:t>承载的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教学内容和目标、交互式课件在教学中的应用情况。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网络版课件需</w:t>
      </w:r>
      <w:r>
        <w:rPr>
          <w:rFonts w:hint="eastAsia" w:ascii="仿宋_GB2312" w:hAnsi="宋体" w:eastAsia="仿宋_GB2312"/>
          <w:sz w:val="32"/>
          <w:szCs w:val="32"/>
        </w:rPr>
        <w:t>明确注明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课件</w:t>
      </w:r>
      <w:r>
        <w:rPr>
          <w:rFonts w:hint="eastAsia" w:ascii="仿宋_GB2312" w:hAnsi="宋体" w:eastAsia="仿宋_GB2312"/>
          <w:sz w:val="32"/>
          <w:szCs w:val="32"/>
        </w:rPr>
        <w:t>运行形态（PC端/移动端/混合），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并提供</w:t>
      </w:r>
      <w:r>
        <w:rPr>
          <w:rFonts w:hint="eastAsia" w:ascii="仿宋_GB2312" w:hAnsi="宋体" w:eastAsia="仿宋_GB2312"/>
          <w:sz w:val="32"/>
          <w:szCs w:val="32"/>
        </w:rPr>
        <w:t>访问地址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或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App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下载方式、二维码等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、使用账号及密码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以便进行网上</w:t>
      </w:r>
      <w:r>
        <w:rPr>
          <w:rFonts w:hint="eastAsia" w:ascii="仿宋_GB2312" w:hAnsi="宋体" w:eastAsia="仿宋_GB2312"/>
          <w:sz w:val="32"/>
          <w:szCs w:val="32"/>
          <w:lang w:eastAsia="zh-Hans"/>
        </w:rPr>
        <w:t>评审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2BD4F8ED">
      <w:pPr>
        <w:widowControl/>
        <w:numPr>
          <w:ilvl w:val="0"/>
          <w:numId w:val="1"/>
        </w:numPr>
        <w:shd w:val="clear" w:color="auto" w:fill="FFFFFF"/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交互式课件在教学中的定位</w:t>
      </w:r>
    </w:p>
    <w:p w14:paraId="6B4BF53D">
      <w:pPr>
        <w:widowControl/>
        <w:shd w:val="clear" w:color="auto" w:fill="FFFFFF"/>
        <w:spacing w:line="560" w:lineRule="exact"/>
        <w:ind w:left="600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包括学习者分析、课件在教学中的定位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Hans"/>
        </w:rPr>
        <w:t>和作用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。</w:t>
      </w:r>
    </w:p>
    <w:p w14:paraId="037E9052">
      <w:pPr>
        <w:widowControl/>
        <w:numPr>
          <w:ilvl w:val="0"/>
          <w:numId w:val="1"/>
        </w:numPr>
        <w:shd w:val="clear" w:color="auto" w:fill="FFFFFF"/>
        <w:spacing w:line="56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交互式课程的特点</w:t>
      </w:r>
    </w:p>
    <w:p w14:paraId="4CBD3161">
      <w:pPr>
        <w:widowControl/>
        <w:numPr>
          <w:ilvl w:val="0"/>
          <w:numId w:val="1"/>
        </w:numPr>
        <w:shd w:val="clear" w:color="auto" w:fill="FFFFFF"/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交互式课件制作设计方案</w:t>
      </w:r>
    </w:p>
    <w:p w14:paraId="1421BD8D">
      <w:pPr>
        <w:widowControl/>
        <w:shd w:val="clear" w:color="auto" w:fill="FFFFFF"/>
        <w:spacing w:line="560" w:lineRule="exact"/>
        <w:ind w:left="6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具体包括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部分内容，请参考：</w:t>
      </w:r>
    </w:p>
    <w:p w14:paraId="1CE5FB6D">
      <w:pPr>
        <w:widowControl/>
        <w:shd w:val="clear" w:color="auto" w:fill="FFFFFF"/>
        <w:spacing w:line="560" w:lineRule="exact"/>
        <w:ind w:left="600"/>
        <w:rPr>
          <w:rFonts w:ascii="楷体" w:hAnsi="楷体" w:eastAsia="楷体" w:cs="仿宋"/>
          <w:kern w:val="0"/>
          <w:sz w:val="32"/>
          <w:szCs w:val="32"/>
        </w:rPr>
      </w:pPr>
      <w:r>
        <w:rPr>
          <w:rFonts w:hint="eastAsia" w:ascii="楷体" w:hAnsi="楷体" w:eastAsia="楷体" w:cs="仿宋"/>
          <w:kern w:val="0"/>
          <w:sz w:val="32"/>
          <w:szCs w:val="32"/>
        </w:rPr>
        <w:t>（一）课件框架</w:t>
      </w:r>
    </w:p>
    <w:p w14:paraId="4C5045A8">
      <w:pPr>
        <w:widowControl/>
        <w:shd w:val="clear" w:color="auto" w:fill="FFFFFF"/>
        <w:spacing w:line="560" w:lineRule="exact"/>
        <w:ind w:left="600"/>
        <w:rPr>
          <w:rFonts w:ascii="楷体" w:hAnsi="楷体" w:eastAsia="楷体" w:cs="仿宋"/>
          <w:kern w:val="0"/>
          <w:sz w:val="32"/>
          <w:szCs w:val="32"/>
        </w:rPr>
      </w:pPr>
      <w:r>
        <w:rPr>
          <w:rFonts w:hint="eastAsia" w:ascii="楷体" w:hAnsi="楷体" w:eastAsia="楷体" w:cs="仿宋"/>
          <w:kern w:val="0"/>
          <w:sz w:val="32"/>
          <w:szCs w:val="32"/>
        </w:rPr>
        <w:t>（二）栏目</w:t>
      </w:r>
      <w:r>
        <w:rPr>
          <w:rFonts w:hint="eastAsia" w:ascii="楷体" w:hAnsi="楷体" w:eastAsia="楷体" w:cs="仿宋"/>
          <w:kern w:val="0"/>
          <w:sz w:val="32"/>
          <w:szCs w:val="32"/>
          <w:lang w:eastAsia="zh-Hans"/>
        </w:rPr>
        <w:t>及功能</w:t>
      </w:r>
      <w:r>
        <w:rPr>
          <w:rFonts w:hint="eastAsia" w:ascii="楷体" w:hAnsi="楷体" w:eastAsia="楷体" w:cs="仿宋"/>
          <w:kern w:val="0"/>
          <w:sz w:val="32"/>
          <w:szCs w:val="32"/>
        </w:rPr>
        <w:t>设计</w:t>
      </w:r>
    </w:p>
    <w:p w14:paraId="28775561">
      <w:pPr>
        <w:widowControl/>
        <w:shd w:val="clear" w:color="auto" w:fill="FFFFFF"/>
        <w:spacing w:line="560" w:lineRule="exact"/>
        <w:ind w:left="600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详细描述栏目功能。</w:t>
      </w:r>
    </w:p>
    <w:p w14:paraId="74FB1B62">
      <w:pPr>
        <w:widowControl/>
        <w:shd w:val="clear" w:color="auto" w:fill="FFFFFF"/>
        <w:spacing w:line="560" w:lineRule="exact"/>
        <w:ind w:left="600"/>
        <w:rPr>
          <w:rFonts w:hint="eastAsia" w:ascii="楷体" w:hAnsi="楷体" w:eastAsia="楷体" w:cs="仿宋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"/>
          <w:kern w:val="0"/>
          <w:sz w:val="32"/>
          <w:szCs w:val="32"/>
        </w:rPr>
        <w:t>（</w:t>
      </w:r>
      <w:r>
        <w:rPr>
          <w:rFonts w:hint="eastAsia" w:ascii="楷体" w:hAnsi="楷体" w:eastAsia="楷体" w:cs="仿宋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仿宋"/>
          <w:kern w:val="0"/>
          <w:sz w:val="32"/>
          <w:szCs w:val="32"/>
        </w:rPr>
        <w:t>）AI技术</w:t>
      </w:r>
      <w:r>
        <w:rPr>
          <w:rFonts w:hint="eastAsia" w:ascii="楷体" w:hAnsi="楷体" w:eastAsia="楷体" w:cs="仿宋"/>
          <w:kern w:val="0"/>
          <w:sz w:val="32"/>
          <w:szCs w:val="32"/>
          <w:lang w:val="en-US" w:eastAsia="zh-CN"/>
        </w:rPr>
        <w:t>应用</w:t>
      </w:r>
    </w:p>
    <w:p w14:paraId="11C365C0">
      <w:pPr>
        <w:widowControl/>
        <w:shd w:val="clear" w:color="auto" w:fill="FFFFFF"/>
        <w:spacing w:line="560" w:lineRule="exact"/>
        <w:ind w:left="600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详细描述AI技术的具体应用场景、设计意图以及实施方法。</w:t>
      </w:r>
    </w:p>
    <w:p w14:paraId="3D5A9BB0">
      <w:pPr>
        <w:widowControl/>
        <w:numPr>
          <w:ilvl w:val="0"/>
          <w:numId w:val="1"/>
        </w:numPr>
        <w:shd w:val="clear" w:color="auto" w:fill="FFFFFF"/>
        <w:spacing w:line="56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ascii="黑体" w:hAnsi="黑体" w:eastAsia="黑体" w:cs="仿宋"/>
          <w:kern w:val="0"/>
          <w:sz w:val="32"/>
          <w:szCs w:val="32"/>
        </w:rPr>
        <w:t>交互式</w:t>
      </w:r>
      <w:r>
        <w:rPr>
          <w:rFonts w:hint="eastAsia" w:ascii="黑体" w:hAnsi="黑体" w:eastAsia="黑体" w:cs="仿宋"/>
          <w:kern w:val="0"/>
          <w:sz w:val="32"/>
          <w:szCs w:val="32"/>
        </w:rPr>
        <w:t>课件使用说明</w:t>
      </w:r>
    </w:p>
    <w:p w14:paraId="0D5D7447">
      <w:pPr>
        <w:widowControl/>
        <w:shd w:val="clear" w:color="auto" w:fill="FFFFFF"/>
        <w:spacing w:line="560" w:lineRule="exact"/>
        <w:ind w:left="60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如提供演示用</w:t>
      </w:r>
      <w:r>
        <w:rPr>
          <w:rFonts w:ascii="仿宋_GB2312" w:hAnsi="仿宋" w:eastAsia="仿宋_GB2312" w:cs="仿宋"/>
          <w:kern w:val="0"/>
          <w:sz w:val="32"/>
          <w:szCs w:val="32"/>
        </w:rPr>
        <w:t>DEMO视频，此部分内容可省略</w:t>
      </w:r>
    </w:p>
    <w:p w14:paraId="1CA8C129">
      <w:pPr>
        <w:widowControl/>
        <w:numPr>
          <w:ilvl w:val="0"/>
          <w:numId w:val="1"/>
        </w:numPr>
        <w:shd w:val="clear" w:color="auto" w:fill="FFFFFF"/>
        <w:spacing w:line="56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已获奖情况</w:t>
      </w:r>
    </w:p>
    <w:p w14:paraId="3310423D">
      <w:pPr>
        <w:widowControl/>
        <w:shd w:val="clear" w:color="auto" w:fill="FFFFFF"/>
        <w:spacing w:line="560" w:lineRule="exact"/>
        <w:ind w:firstLine="598" w:firstLineChars="187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已获国家级或省级奖项的作品，请附获奖证书原件扫描图。</w:t>
      </w:r>
    </w:p>
    <w:p w14:paraId="16B5856D">
      <w:pPr>
        <w:widowControl/>
        <w:shd w:val="clear" w:color="auto" w:fill="FFFFFF"/>
        <w:spacing w:line="560" w:lineRule="exact"/>
        <w:ind w:firstLine="602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/>
          <w:kern w:val="0"/>
          <w:sz w:val="30"/>
          <w:szCs w:val="30"/>
        </w:rPr>
        <w:t>排版要求：</w:t>
      </w:r>
      <w:r>
        <w:rPr>
          <w:rFonts w:ascii="Times New Roman" w:hAnsi="Times New Roman" w:eastAsia="仿宋_GB2312"/>
          <w:sz w:val="32"/>
          <w:szCs w:val="32"/>
        </w:rPr>
        <w:t>正文，三号仿宋_GB2312体字，数字及英文用Times New Roman字体，行距固定值28磅。</w:t>
      </w:r>
      <w:r>
        <w:rPr>
          <w:rFonts w:hint="eastAsia" w:ascii="Times New Roman" w:hAnsi="Times New Roman" w:eastAsia="仿宋_GB2312"/>
          <w:sz w:val="32"/>
          <w:szCs w:val="32"/>
        </w:rPr>
        <w:t>结构层次序数依次用“一”、“（一）”、“</w:t>
      </w:r>
      <w:r>
        <w:rPr>
          <w:rFonts w:ascii="Times New Roman" w:hAnsi="Times New Roman" w:eastAsia="仿宋_GB2312"/>
          <w:sz w:val="32"/>
          <w:szCs w:val="32"/>
        </w:rPr>
        <w:t>1.”“（1）”标注；第一层用黑体字、第二层用楷体字、第三层和第四层用</w:t>
      </w:r>
      <w:r>
        <w:rPr>
          <w:rFonts w:hint="eastAsia" w:ascii="Times New Roman" w:hAnsi="Times New Roman" w:eastAsia="仿宋_GB2312"/>
          <w:sz w:val="32"/>
          <w:szCs w:val="32"/>
        </w:rPr>
        <w:t>仿宋</w:t>
      </w:r>
      <w:r>
        <w:rPr>
          <w:rFonts w:ascii="Times New Roman" w:hAnsi="Times New Roman" w:eastAsia="仿宋_GB2312"/>
          <w:sz w:val="32"/>
          <w:szCs w:val="32"/>
        </w:rPr>
        <w:t>_GB2312体字。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原则上不超6000字。</w:t>
      </w:r>
    </w:p>
    <w:p w14:paraId="5F9D3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BEBC48-8495-453D-8BD6-CE1A77294B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DE33A54-E90B-4056-99A0-8E224FF49C46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3063444A-6FF6-4AF4-A01C-C980F52DCA1B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924DB8AE-3519-4B05-8846-86D42472F9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7D68FB5-442D-4002-9AF8-B10ED3F6011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7738F18-62DD-4D8D-A316-43AEFCD842E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22355E3-67EF-4DAA-AAAD-E9DC48D75AE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955F7F"/>
    <w:multiLevelType w:val="multilevel"/>
    <w:tmpl w:val="7B955F7F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423AC"/>
    <w:rsid w:val="25F4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2026-05-25T06:43:00Z</dcterms:created>
  <dc:creator>方可欣</dc:creator>
  <cp:lastModifiedBy>方可欣</cp:lastModifiedBy>
  <dcterms:modified xsi:type="dcterms:W3CDTF">2026-05-25T06:44:13Z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F89C916DFF674DF3920D59F030B0016F_11</vt:lpwstr>
  </property>
  <property fmtid="{D5CDD505-2E9C-101B-9397-08002B2CF9AE}" pid="4" name="KSOTemplateDocerSaveRecord">
    <vt:lpwstr>eyJoZGlkIjoiMjA0MzZlZDY1NTcyNjIzYmY5NjE3MTk2YTdhNDk2MTMiLCJ1c2VySWQiOiIzNTQ0NzcxOTgifQ==</vt:lpwstr>
  </property>
</Properties>
</file>