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9C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Cs/>
          <w:sz w:val="36"/>
          <w:szCs w:val="36"/>
          <w:lang w:val="en-US" w:eastAsia="zh-CN"/>
        </w:rPr>
        <w:t>2</w:t>
      </w:r>
    </w:p>
    <w:p w14:paraId="41AE3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4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 w:cs="Times New Roman"/>
          <w:bCs/>
          <w:sz w:val="36"/>
          <w:szCs w:val="36"/>
          <w:lang w:val="en-US" w:eastAsia="zh-CN"/>
        </w:rPr>
        <w:t>“</w:t>
      </w:r>
      <w:r>
        <w:rPr>
          <w:rFonts w:hint="default" w:ascii="Times New Roman" w:hAnsi="Times New Roman" w:eastAsia="方正小标宋_GBK" w:cs="Times New Roman"/>
          <w:bCs/>
          <w:sz w:val="36"/>
          <w:szCs w:val="36"/>
          <w:lang w:val="en-US" w:eastAsia="zh-CN"/>
        </w:rPr>
        <w:t>论文正在撰写或已完成</w:t>
      </w:r>
      <w:r>
        <w:rPr>
          <w:rFonts w:hint="eastAsia" w:ascii="Times New Roman" w:hAnsi="Times New Roman" w:eastAsia="方正小标宋_GBK" w:cs="Times New Roman"/>
          <w:bCs/>
          <w:sz w:val="36"/>
          <w:szCs w:val="36"/>
          <w:lang w:val="en-US" w:eastAsia="zh-CN"/>
        </w:rPr>
        <w:t>”</w:t>
      </w:r>
      <w:r>
        <w:rPr>
          <w:rFonts w:hint="default" w:ascii="Times New Roman" w:hAnsi="Times New Roman" w:eastAsia="方正小标宋_GBK" w:cs="Times New Roman"/>
          <w:bCs/>
          <w:sz w:val="36"/>
          <w:szCs w:val="36"/>
          <w:lang w:val="en-US" w:eastAsia="zh-CN"/>
        </w:rPr>
        <w:t>的</w:t>
      </w:r>
      <w:r>
        <w:rPr>
          <w:rFonts w:hint="eastAsia" w:ascii="Times New Roman" w:hAnsi="Times New Roman" w:eastAsia="方正小标宋_GBK" w:cs="Times New Roman"/>
          <w:bCs/>
          <w:sz w:val="36"/>
          <w:szCs w:val="36"/>
          <w:lang w:val="en-US" w:eastAsia="zh-CN"/>
        </w:rPr>
        <w:t>学位论文</w:t>
      </w:r>
      <w:r>
        <w:rPr>
          <w:rFonts w:hint="default" w:ascii="Times New Roman" w:hAnsi="Times New Roman" w:eastAsia="方正小标宋_GBK" w:cs="Times New Roman"/>
          <w:bCs/>
          <w:sz w:val="36"/>
          <w:szCs w:val="36"/>
          <w:lang w:val="en-US" w:eastAsia="zh-CN"/>
        </w:rPr>
        <w:t>审核流程</w:t>
      </w:r>
    </w:p>
    <w:p w14:paraId="4875E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Cs/>
          <w:sz w:val="36"/>
          <w:szCs w:val="36"/>
          <w:lang w:val="en-US" w:eastAsia="zh-CN"/>
        </w:rPr>
        <w:t>（试行）</w:t>
      </w:r>
    </w:p>
    <w:p w14:paraId="08CED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为规范学位论文撰写及审核程序，保障学位论文质量与学位申报工作有序开展，特制定本流程。</w:t>
      </w:r>
    </w:p>
    <w:p w14:paraId="40B6D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一、适用范围</w:t>
      </w:r>
    </w:p>
    <w:p w14:paraId="6494A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本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流程适用于2025年12月之前经专业负责人确认已进入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撰写阶段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或已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撰写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完成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的学位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论文。</w:t>
      </w:r>
    </w:p>
    <w:p w14:paraId="17FDD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</w:t>
      </w:r>
      <w:r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  <w:t>流程步骤</w:t>
      </w:r>
    </w:p>
    <w:p w14:paraId="6224D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（一）学位申请意向再调研</w:t>
      </w:r>
    </w:p>
    <w:p w14:paraId="215774E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负责单位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学习中心</w:t>
      </w:r>
    </w:p>
    <w:p w14:paraId="5FA25B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工作要求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：</w:t>
      </w:r>
    </w:p>
    <w:p w14:paraId="5BFC6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学习中心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须在2026年3月10日前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对学生申请学位意向进行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再次调研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。</w:t>
      </w:r>
    </w:p>
    <w:p w14:paraId="6A84DED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结果报送：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地方学院汇总所辖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学习中心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调研结果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报送至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国开分部教学管理中心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教务与学籍办公室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（以下简称“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教务与学籍办公室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”）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。</w:t>
      </w:r>
    </w:p>
    <w:p w14:paraId="0DF17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（二）学位论文确认与过程指导</w:t>
      </w:r>
    </w:p>
    <w:p w14:paraId="6354354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负责单位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学习中心、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专业负责人</w:t>
      </w:r>
    </w:p>
    <w:p w14:paraId="48F130D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工作要求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：</w:t>
      </w:r>
    </w:p>
    <w:p w14:paraId="7463E0E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专业负责人依据教务与学籍办公室提供的学位调研结果，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及时介入学位论文指导工作，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保障学位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论文质量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；</w:t>
      </w:r>
    </w:p>
    <w:p w14:paraId="64F3CD9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已经撰写完成的学位论文，学习中心应在论文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送审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前提交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专业负责人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进行初审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。</w:t>
      </w:r>
    </w:p>
    <w:p w14:paraId="05714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（三）学位</w:t>
      </w:r>
      <w:r>
        <w:rPr>
          <w:rFonts w:hint="default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论文答辩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环节</w:t>
      </w:r>
    </w:p>
    <w:p w14:paraId="527AC5B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负责单位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教务与学籍办公室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、专业负责人</w:t>
      </w:r>
    </w:p>
    <w:p w14:paraId="0C2F4E9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工作要求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：</w:t>
      </w:r>
    </w:p>
    <w:p w14:paraId="13BF8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（1）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教务与学籍办公室统筹学位论文答辩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工作；</w:t>
      </w:r>
    </w:p>
    <w:p w14:paraId="22428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专业负责人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应参加本专业学位论文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答辩。</w:t>
      </w:r>
    </w:p>
    <w:p w14:paraId="35A96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（四）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学位</w:t>
      </w:r>
      <w:r>
        <w:rPr>
          <w:rFonts w:hint="default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论文送审准备</w:t>
      </w:r>
    </w:p>
    <w:p w14:paraId="5545D1C1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负责单位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教务与学籍办公室、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学习中心</w:t>
      </w:r>
    </w:p>
    <w:p w14:paraId="7D53E61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工作要求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：</w:t>
      </w:r>
    </w:p>
    <w:p w14:paraId="2BC37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（1）送审时学生须已满足除学位论文以外的其他学位申请条件；</w:t>
      </w:r>
    </w:p>
    <w:p w14:paraId="20A1B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送审前学生须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提供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知网查重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相关材料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，查重率低于20%方可进入送审环节。</w:t>
      </w:r>
    </w:p>
    <w:p w14:paraId="10046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（五）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学位</w:t>
      </w:r>
      <w:r>
        <w:rPr>
          <w:rFonts w:hint="default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论文审核与修改反馈</w:t>
      </w:r>
    </w:p>
    <w:p w14:paraId="786B5909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负责单位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教务与学籍办公室、专业负责人</w:t>
      </w:r>
    </w:p>
    <w:p w14:paraId="1ADE3601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工作要求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：</w:t>
      </w:r>
    </w:p>
    <w:p w14:paraId="0999E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（1）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教务与学籍办公室按专业分类汇总送审论文，移交专业负责人审核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；</w:t>
      </w:r>
    </w:p>
    <w:p w14:paraId="7E1CC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专业负责人提出修改意见，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并反馈给教务与学籍办公室；</w:t>
      </w:r>
    </w:p>
    <w:p w14:paraId="63ED1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（3）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学习中心通知学生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及时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修改，修改后须重新查重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；</w:t>
      </w:r>
    </w:p>
    <w:p w14:paraId="64CEF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（4）经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审核合格的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送审学位论文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专业负责人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须在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学位论文评审表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签字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盖章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并将学位论文电子版及学位论文评审表交回教务与学籍办公室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。</w:t>
      </w:r>
    </w:p>
    <w:p w14:paraId="40975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（六）二次查重与处理</w:t>
      </w:r>
    </w:p>
    <w:p w14:paraId="56405366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负责单位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地方学院、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学习中心、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教务与学籍办公室、专业负责人</w:t>
      </w:r>
    </w:p>
    <w:p w14:paraId="7F2DD5D7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工作要求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：</w:t>
      </w:r>
    </w:p>
    <w:p w14:paraId="5BD09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（1）本学期通过审核的论文，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下一学期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由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地方学院使用指定知网账号对论文进行统一查重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；</w:t>
      </w:r>
    </w:p>
    <w:p w14:paraId="4D55B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查重率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大于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50%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当学期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不予申报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查重率20%–50%给予一次修改机会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；</w:t>
      </w:r>
    </w:p>
    <w:p w14:paraId="0A0C8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（3）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不符合查重要求的论文，由教务与学籍办公室汇总并移交专业负责人，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由其会同学习中心指导学生修改后重新查重，查重率仍大于20%的论文，当学期不予申报学位。</w:t>
      </w:r>
    </w:p>
    <w:p w14:paraId="3DEFF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（七）未通过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分部</w:t>
      </w:r>
      <w:r>
        <w:rPr>
          <w:rFonts w:hint="default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审核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的学位</w:t>
      </w:r>
      <w:r>
        <w:rPr>
          <w:rFonts w:hint="default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论文处理</w:t>
      </w:r>
    </w:p>
    <w:p w14:paraId="5AA678D3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负责单位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学习中心</w:t>
      </w:r>
    </w:p>
    <w:p w14:paraId="5B7A0377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工作要求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：</w:t>
      </w:r>
    </w:p>
    <w:p w14:paraId="378D0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（1）未通过分部审核的学位论文原则上应重新撰写和答辩，并按本流程重新审核；</w:t>
      </w:r>
    </w:p>
    <w:p w14:paraId="650BC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学生放弃学位申报的，须与学习中心共同填写《国家开放大学学生学位申请情况说明》，说明原因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并加盖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学习中心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公章，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报送教务与学籍办公室备案。</w:t>
      </w:r>
    </w:p>
    <w:p w14:paraId="41653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（八）学位材料整理与报送</w:t>
      </w:r>
    </w:p>
    <w:p w14:paraId="6175E5A9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负责单位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教务与学籍办公室、地方学院</w:t>
      </w:r>
    </w:p>
    <w:p w14:paraId="45BD65AF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工作要求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：</w:t>
      </w:r>
    </w:p>
    <w:p w14:paraId="56E5C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（1）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教务与学籍办公室组织召开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分部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学位论文审核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委员会会议；</w:t>
      </w:r>
    </w:p>
    <w:p w14:paraId="6080C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会后将学位申请材料发还地方学院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；</w:t>
      </w:r>
    </w:p>
    <w:p w14:paraId="77EB8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（3）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地方学院按“一生一档”整理学位论文、查重报告、评审表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、学位英语成绩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等材料，扫描打包后发送至教务与学籍办公室，并同步上传至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教务系统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。</w:t>
      </w:r>
    </w:p>
    <w:p w14:paraId="1AE77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（九）系统审核与内容审核</w:t>
      </w:r>
    </w:p>
    <w:p w14:paraId="05AE2B31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负责单位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教务与学籍办公室、专业负责人</w:t>
      </w:r>
    </w:p>
    <w:p w14:paraId="10C2EED8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工作要求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：</w:t>
      </w:r>
    </w:p>
    <w:p w14:paraId="6985B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（1）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教务与学籍办公室在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教务系统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中审核材料完整性及签字盖章规范性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；</w:t>
      </w:r>
    </w:p>
    <w:p w14:paraId="47A70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专业负责人审核系统中论文是否为终稿，并检查体例与内容是否符合要求。</w:t>
      </w:r>
    </w:p>
    <w:p w14:paraId="5EB1A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（十）报送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至国开总部</w:t>
      </w:r>
    </w:p>
    <w:p w14:paraId="6AC85B5E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负责单位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教务与学籍办公室</w:t>
      </w:r>
    </w:p>
    <w:p w14:paraId="1575E8AC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报送内容：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审核通过的学位申请材料统一报送至国家开放大学。</w:t>
      </w:r>
    </w:p>
    <w:p w14:paraId="25D50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（十一）被国家开放大学退回学位论文重新报送及审核</w:t>
      </w:r>
    </w:p>
    <w:p w14:paraId="0BEEA454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被国家开放大学退回的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学位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论文，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专业负责人须及时联系学习中心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达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修改意见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，指导学生进行论文修改，修改后的论文须专业负责人确认，并重新查重。</w:t>
      </w:r>
    </w:p>
    <w:p w14:paraId="1FA778C6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学习中心须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在二十个工作日内将修改后的论文重新提交至教务与学籍办公室。</w:t>
      </w:r>
    </w:p>
    <w:p w14:paraId="53A0D844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地方学院利用教务与学籍办公室提供的知网账号进行查重。</w:t>
      </w:r>
    </w:p>
    <w:p w14:paraId="3987DA78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后续流程参照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“流程步骤”（六）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至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（十）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53314E65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未经分部学位审核委员会审定的学位论文送审说明</w:t>
      </w:r>
    </w:p>
    <w:p w14:paraId="457EDDD2"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年秋季学期，分部按照国开要求成立了学位审核委员会，在此之前送审过且专业负责人签字、盖章的“国家开放大学学士学位论文评审表”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不再适用后续学位申报工作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2D23FBFE"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此类学位论文送审报送要求及审核流程参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照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“流程步骤”（一）至（十）。</w:t>
      </w:r>
    </w:p>
    <w:p w14:paraId="3960F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（十三）特殊情况</w:t>
      </w:r>
    </w:p>
    <w:p w14:paraId="28C8F462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如学生当学期未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进行论文相关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选课，无法在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“教学平台”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进行论文选题与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电子文档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提交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学习中心应及时联系专业负责人进行选题确认与论文初审。</w:t>
      </w:r>
    </w:p>
    <w:p w14:paraId="4F77461E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专业负责人将确认信息提交教务与学籍办公室备案。</w:t>
      </w:r>
    </w:p>
    <w:p w14:paraId="43BDF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  <w:t>三、附则</w:t>
      </w:r>
    </w:p>
    <w:p w14:paraId="3BDC0F2F"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本流程自发布之日起执行。</w:t>
      </w:r>
    </w:p>
    <w:p w14:paraId="0FB45B9F"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未尽事宜，由国开分部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教学管理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中心研究决定并解释。</w:t>
      </w:r>
    </w:p>
    <w:p w14:paraId="2AA086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6F99A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48F7E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p w14:paraId="0DB25D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040" w:firstLineChars="1575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国开分部教学管理中心</w:t>
      </w:r>
    </w:p>
    <w:p w14:paraId="485F5C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459" w:firstLineChars="1706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2026年1月15日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F8FCD9-5557-4005-9C89-0B1A31A439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61820DE-CB16-4724-806F-709F7587F53B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C17DE78-73BC-4909-8DD1-9A62353D7E1E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EBE152F-4E10-4944-ABAC-3B0438557D7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88D0F3"/>
    <w:multiLevelType w:val="singleLevel"/>
    <w:tmpl w:val="9488D0F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/>
        <w:bCs/>
      </w:rPr>
    </w:lvl>
  </w:abstractNum>
  <w:abstractNum w:abstractNumId="1">
    <w:nsid w:val="A48C4C48"/>
    <w:multiLevelType w:val="singleLevel"/>
    <w:tmpl w:val="A48C4C4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/>
        <w:bCs/>
      </w:rPr>
    </w:lvl>
  </w:abstractNum>
  <w:abstractNum w:abstractNumId="2">
    <w:nsid w:val="C5CD25E0"/>
    <w:multiLevelType w:val="singleLevel"/>
    <w:tmpl w:val="C5CD25E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/>
        <w:bCs/>
      </w:rPr>
    </w:lvl>
  </w:abstractNum>
  <w:abstractNum w:abstractNumId="3">
    <w:nsid w:val="C800EE7F"/>
    <w:multiLevelType w:val="singleLevel"/>
    <w:tmpl w:val="C800EE7F"/>
    <w:lvl w:ilvl="0" w:tentative="0">
      <w:start w:val="1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D2CDCCB0"/>
    <w:multiLevelType w:val="singleLevel"/>
    <w:tmpl w:val="D2CDCCB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/>
        <w:bCs/>
      </w:rPr>
    </w:lvl>
  </w:abstractNum>
  <w:abstractNum w:abstractNumId="5">
    <w:nsid w:val="E53E7E59"/>
    <w:multiLevelType w:val="singleLevel"/>
    <w:tmpl w:val="E53E7E5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 w:val="0"/>
        <w:bCs w:val="0"/>
      </w:rPr>
    </w:lvl>
  </w:abstractNum>
  <w:abstractNum w:abstractNumId="6">
    <w:nsid w:val="FBD12D15"/>
    <w:multiLevelType w:val="singleLevel"/>
    <w:tmpl w:val="FBD12D1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/>
        <w:bCs/>
      </w:rPr>
    </w:lvl>
  </w:abstractNum>
  <w:abstractNum w:abstractNumId="7">
    <w:nsid w:val="FD8229F1"/>
    <w:multiLevelType w:val="singleLevel"/>
    <w:tmpl w:val="FD8229F1"/>
    <w:lvl w:ilvl="0" w:tentative="0">
      <w:start w:val="1"/>
      <w:numFmt w:val="decimal"/>
      <w:suff w:val="nothing"/>
      <w:lvlText w:val="（%1）"/>
      <w:lvlJc w:val="left"/>
    </w:lvl>
  </w:abstractNum>
  <w:abstractNum w:abstractNumId="8">
    <w:nsid w:val="0AD5097F"/>
    <w:multiLevelType w:val="singleLevel"/>
    <w:tmpl w:val="0AD5097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 w:val="0"/>
        <w:bCs w:val="0"/>
      </w:rPr>
    </w:lvl>
  </w:abstractNum>
  <w:abstractNum w:abstractNumId="9">
    <w:nsid w:val="349017EA"/>
    <w:multiLevelType w:val="singleLevel"/>
    <w:tmpl w:val="349017E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Times New Roman" w:hAnsi="Times New Roman" w:eastAsia="方正仿宋_GBK" w:cs="Times New Roman"/>
        <w:b/>
        <w:bCs/>
      </w:rPr>
    </w:lvl>
  </w:abstractNum>
  <w:abstractNum w:abstractNumId="10">
    <w:nsid w:val="3B39D18E"/>
    <w:multiLevelType w:val="singleLevel"/>
    <w:tmpl w:val="3B39D18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 w:val="0"/>
        <w:bCs w:val="0"/>
      </w:rPr>
    </w:lvl>
  </w:abstractNum>
  <w:abstractNum w:abstractNumId="11">
    <w:nsid w:val="3D5A2EDA"/>
    <w:multiLevelType w:val="singleLevel"/>
    <w:tmpl w:val="3D5A2ED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/>
        <w:bCs/>
      </w:rPr>
    </w:lvl>
  </w:abstractNum>
  <w:abstractNum w:abstractNumId="12">
    <w:nsid w:val="6879AD7D"/>
    <w:multiLevelType w:val="singleLevel"/>
    <w:tmpl w:val="6879AD7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/>
        <w:bCs/>
      </w:rPr>
    </w:lvl>
  </w:abstractNum>
  <w:abstractNum w:abstractNumId="13">
    <w:nsid w:val="6C111D9D"/>
    <w:multiLevelType w:val="singleLevel"/>
    <w:tmpl w:val="6C111D9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/>
        <w:bCs/>
      </w:rPr>
    </w:lvl>
  </w:abstractNum>
  <w:abstractNum w:abstractNumId="14">
    <w:nsid w:val="6FAE5A2A"/>
    <w:multiLevelType w:val="singleLevel"/>
    <w:tmpl w:val="6FAE5A2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 w:val="0"/>
        <w:bCs w:val="0"/>
      </w:rPr>
    </w:lvl>
  </w:abstractNum>
  <w:abstractNum w:abstractNumId="15">
    <w:nsid w:val="709068C8"/>
    <w:multiLevelType w:val="singleLevel"/>
    <w:tmpl w:val="709068C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/>
        <w:bCs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6"/>
  </w:num>
  <w:num w:numId="5">
    <w:abstractNumId w:val="12"/>
  </w:num>
  <w:num w:numId="6">
    <w:abstractNumId w:val="15"/>
  </w:num>
  <w:num w:numId="7">
    <w:abstractNumId w:val="0"/>
  </w:num>
  <w:num w:numId="8">
    <w:abstractNumId w:val="1"/>
  </w:num>
  <w:num w:numId="9">
    <w:abstractNumId w:val="13"/>
  </w:num>
  <w:num w:numId="10">
    <w:abstractNumId w:val="2"/>
  </w:num>
  <w:num w:numId="11">
    <w:abstractNumId w:val="11"/>
  </w:num>
  <w:num w:numId="12">
    <w:abstractNumId w:val="10"/>
  </w:num>
  <w:num w:numId="13">
    <w:abstractNumId w:val="3"/>
  </w:num>
  <w:num w:numId="14">
    <w:abstractNumId w:val="14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102"/>
    <w:rsid w:val="00021882"/>
    <w:rsid w:val="00023D5D"/>
    <w:rsid w:val="000327F9"/>
    <w:rsid w:val="00032B83"/>
    <w:rsid w:val="00035521"/>
    <w:rsid w:val="00067896"/>
    <w:rsid w:val="00075A4D"/>
    <w:rsid w:val="000A398F"/>
    <w:rsid w:val="000D2041"/>
    <w:rsid w:val="000F369C"/>
    <w:rsid w:val="001048C4"/>
    <w:rsid w:val="00130F9B"/>
    <w:rsid w:val="001601C1"/>
    <w:rsid w:val="00172FA8"/>
    <w:rsid w:val="00182807"/>
    <w:rsid w:val="001A5BA4"/>
    <w:rsid w:val="001D59D7"/>
    <w:rsid w:val="00215F9E"/>
    <w:rsid w:val="002A2CDB"/>
    <w:rsid w:val="002B6839"/>
    <w:rsid w:val="002E7392"/>
    <w:rsid w:val="002F10F7"/>
    <w:rsid w:val="00356BA1"/>
    <w:rsid w:val="00391391"/>
    <w:rsid w:val="003A165D"/>
    <w:rsid w:val="003B0AB7"/>
    <w:rsid w:val="003C1207"/>
    <w:rsid w:val="003D37E3"/>
    <w:rsid w:val="003E1E9E"/>
    <w:rsid w:val="003E1F80"/>
    <w:rsid w:val="004646DD"/>
    <w:rsid w:val="004C46BE"/>
    <w:rsid w:val="004D24D7"/>
    <w:rsid w:val="004E4F52"/>
    <w:rsid w:val="00515936"/>
    <w:rsid w:val="0053095B"/>
    <w:rsid w:val="00567EC6"/>
    <w:rsid w:val="005767AB"/>
    <w:rsid w:val="00585C88"/>
    <w:rsid w:val="005B252A"/>
    <w:rsid w:val="005D7A18"/>
    <w:rsid w:val="005E18BA"/>
    <w:rsid w:val="005F1150"/>
    <w:rsid w:val="005F30C5"/>
    <w:rsid w:val="00604998"/>
    <w:rsid w:val="00617B9F"/>
    <w:rsid w:val="006948D5"/>
    <w:rsid w:val="006C371E"/>
    <w:rsid w:val="006D4CBA"/>
    <w:rsid w:val="006E1D33"/>
    <w:rsid w:val="006F092B"/>
    <w:rsid w:val="007336CC"/>
    <w:rsid w:val="00733DCB"/>
    <w:rsid w:val="00734056"/>
    <w:rsid w:val="007470D3"/>
    <w:rsid w:val="00762719"/>
    <w:rsid w:val="00775201"/>
    <w:rsid w:val="007B715A"/>
    <w:rsid w:val="007E7D74"/>
    <w:rsid w:val="007F4567"/>
    <w:rsid w:val="007F7134"/>
    <w:rsid w:val="00831D3D"/>
    <w:rsid w:val="00862E6E"/>
    <w:rsid w:val="00890278"/>
    <w:rsid w:val="008A30A4"/>
    <w:rsid w:val="008A64DE"/>
    <w:rsid w:val="008C494E"/>
    <w:rsid w:val="008E4BF5"/>
    <w:rsid w:val="008E5BB8"/>
    <w:rsid w:val="00902203"/>
    <w:rsid w:val="00922331"/>
    <w:rsid w:val="009248EC"/>
    <w:rsid w:val="009271B8"/>
    <w:rsid w:val="00965EAA"/>
    <w:rsid w:val="0099638C"/>
    <w:rsid w:val="009C1A81"/>
    <w:rsid w:val="00A065F2"/>
    <w:rsid w:val="00A10C72"/>
    <w:rsid w:val="00A23715"/>
    <w:rsid w:val="00A35F83"/>
    <w:rsid w:val="00A701F8"/>
    <w:rsid w:val="00AA0BD7"/>
    <w:rsid w:val="00AC36F2"/>
    <w:rsid w:val="00AD38BD"/>
    <w:rsid w:val="00AD399F"/>
    <w:rsid w:val="00AE240A"/>
    <w:rsid w:val="00AE7AF3"/>
    <w:rsid w:val="00B174EF"/>
    <w:rsid w:val="00B43BA7"/>
    <w:rsid w:val="00B72774"/>
    <w:rsid w:val="00BB6583"/>
    <w:rsid w:val="00BC16B2"/>
    <w:rsid w:val="00C17DF0"/>
    <w:rsid w:val="00C45610"/>
    <w:rsid w:val="00CA396F"/>
    <w:rsid w:val="00CC7B89"/>
    <w:rsid w:val="00CD5F89"/>
    <w:rsid w:val="00D13053"/>
    <w:rsid w:val="00D153DD"/>
    <w:rsid w:val="00D32395"/>
    <w:rsid w:val="00D4091C"/>
    <w:rsid w:val="00D41FA8"/>
    <w:rsid w:val="00D5642C"/>
    <w:rsid w:val="00D66A0B"/>
    <w:rsid w:val="00D923CC"/>
    <w:rsid w:val="00DC1CE9"/>
    <w:rsid w:val="00DD6084"/>
    <w:rsid w:val="00DD7FA6"/>
    <w:rsid w:val="00DF6F2E"/>
    <w:rsid w:val="00E37102"/>
    <w:rsid w:val="00E454A3"/>
    <w:rsid w:val="00E575A8"/>
    <w:rsid w:val="00E6330E"/>
    <w:rsid w:val="00E70B38"/>
    <w:rsid w:val="00EF1386"/>
    <w:rsid w:val="00F07086"/>
    <w:rsid w:val="00F13FB2"/>
    <w:rsid w:val="00F21F17"/>
    <w:rsid w:val="00F3478C"/>
    <w:rsid w:val="00F71996"/>
    <w:rsid w:val="00FA36DE"/>
    <w:rsid w:val="00FA73EA"/>
    <w:rsid w:val="00FB0B11"/>
    <w:rsid w:val="00FB6734"/>
    <w:rsid w:val="00FC2643"/>
    <w:rsid w:val="00FC346C"/>
    <w:rsid w:val="00FF3F9C"/>
    <w:rsid w:val="00FF4C21"/>
    <w:rsid w:val="03D2587C"/>
    <w:rsid w:val="04185410"/>
    <w:rsid w:val="049C1B9D"/>
    <w:rsid w:val="05CF1AFF"/>
    <w:rsid w:val="078241C6"/>
    <w:rsid w:val="12F843B4"/>
    <w:rsid w:val="16340EE0"/>
    <w:rsid w:val="182D5E21"/>
    <w:rsid w:val="1A5B0FE0"/>
    <w:rsid w:val="1FFA1558"/>
    <w:rsid w:val="20AB301F"/>
    <w:rsid w:val="214D4EB3"/>
    <w:rsid w:val="22B41761"/>
    <w:rsid w:val="232C235B"/>
    <w:rsid w:val="29E43295"/>
    <w:rsid w:val="2D340277"/>
    <w:rsid w:val="3643781B"/>
    <w:rsid w:val="381D6B9B"/>
    <w:rsid w:val="39375086"/>
    <w:rsid w:val="3A675260"/>
    <w:rsid w:val="3EF053FA"/>
    <w:rsid w:val="3F5F5018"/>
    <w:rsid w:val="4BAD4CA0"/>
    <w:rsid w:val="51DC2BA6"/>
    <w:rsid w:val="521A3EF7"/>
    <w:rsid w:val="542A5DC7"/>
    <w:rsid w:val="58570C1D"/>
    <w:rsid w:val="5C7B5F6E"/>
    <w:rsid w:val="5C9A0071"/>
    <w:rsid w:val="5ED70C7B"/>
    <w:rsid w:val="5FB80F1C"/>
    <w:rsid w:val="63A8304B"/>
    <w:rsid w:val="68EE6371"/>
    <w:rsid w:val="6AD95A7D"/>
    <w:rsid w:val="6ED62CCD"/>
    <w:rsid w:val="73C16A75"/>
    <w:rsid w:val="783A2249"/>
    <w:rsid w:val="7A9444E4"/>
    <w:rsid w:val="7CED028B"/>
    <w:rsid w:val="7FE6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paragraph" w:customStyle="1" w:styleId="12">
    <w:name w:val="_Style 28"/>
    <w:basedOn w:val="1"/>
    <w:qFormat/>
    <w:uiPriority w:val="0"/>
    <w:pPr>
      <w:spacing w:line="360" w:lineRule="auto"/>
      <w:ind w:firstLine="420"/>
    </w:pPr>
    <w:rPr>
      <w:rFonts w:ascii="Bookman Old Style" w:hAnsi="Bookman Old Style" w:eastAsia="仿宋_GB2312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6f9ed599-79f2-48de-85aa-8171512a7e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1803</Words>
  <Characters>1829</Characters>
  <Lines>18</Lines>
  <Paragraphs>5</Paragraphs>
  <TotalTime>1</TotalTime>
  <ScaleCrop>false</ScaleCrop>
  <LinksUpToDate>false</LinksUpToDate>
  <CharactersWithSpaces>1829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2025-04-24T06:30:00Z</dcterms:created>
  <dc:creator>钱蔚</dc:creator>
  <cp:lastModifiedBy>赵晖</cp:lastModifiedBy>
  <cp:lastPrinted>2025-01-14T01:15:00Z</cp:lastPrinted>
  <dcterms:modified xsi:type="dcterms:W3CDTF">2026-01-15T00:49:17Z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eyJoZGlkIjoiN2ZlZDAxYzE4ZDZkNDdjYmUzODc3ZjU4ZjNmMDg0ZjkiLCJ1c2VySWQiOiIxNjY0NDYyODgwIn0=</vt:lpwstr>
  </property>
  <property fmtid="{D5CDD505-2E9C-101B-9397-08002B2CF9AE}" pid="3" name="KSOProductBuildVer">
    <vt:lpwstr>2052-12.1.0.24034</vt:lpwstr>
  </property>
  <property fmtid="{D5CDD505-2E9C-101B-9397-08002B2CF9AE}" pid="4" name="ICV">
    <vt:lpwstr>3942962765194862A372C47127216446_13</vt:lpwstr>
  </property>
</Properties>
</file>